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2092"/>
        <w:gridCol w:w="1451"/>
        <w:gridCol w:w="987"/>
        <w:gridCol w:w="1902"/>
        <w:gridCol w:w="1046"/>
      </w:tblGrid>
      <w:tr w:rsidR="00622EC5" w:rsidRPr="00622EC5" w:rsidTr="00622EC5">
        <w:trPr>
          <w:trHeight w:val="255"/>
        </w:trPr>
        <w:tc>
          <w:tcPr>
            <w:tcW w:w="993"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Level</w:t>
            </w:r>
          </w:p>
        </w:tc>
        <w:tc>
          <w:tcPr>
            <w:tcW w:w="2126"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3543" w:type="dxa"/>
            <w:gridSpan w:val="2"/>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Kabupaten Kapuas</w:t>
            </w:r>
          </w:p>
        </w:tc>
        <w:tc>
          <w:tcPr>
            <w:tcW w:w="987"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902"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046"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3119" w:type="dxa"/>
            <w:gridSpan w:val="2"/>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3543" w:type="dxa"/>
            <w:gridSpan w:val="2"/>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Implementasi Kinerja</w:t>
            </w:r>
          </w:p>
        </w:tc>
        <w:tc>
          <w:tcPr>
            <w:tcW w:w="987"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902"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046"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993"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2126"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2092"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451"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987"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902" w:type="dxa"/>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46"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90"/>
        </w:trPr>
        <w:tc>
          <w:tcPr>
            <w:tcW w:w="3402" w:type="dxa"/>
            <w:gridSpan w:val="3"/>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6432" w:type="dxa"/>
            <w:gridSpan w:val="4"/>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I. Perencanaan Kehutanan dan Tata Ruang </w:t>
            </w:r>
          </w:p>
        </w:tc>
        <w:tc>
          <w:tcPr>
            <w:tcW w:w="1046" w:type="dxa"/>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465"/>
        </w:trPr>
        <w:tc>
          <w:tcPr>
            <w:tcW w:w="3119" w:type="dxa"/>
            <w:gridSpan w:val="2"/>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a. Tingkat penerimaan (legitimasi) atas dokumen RTRWP/RTRWK/Kehutanan</w:t>
            </w:r>
          </w:p>
        </w:tc>
      </w:tr>
      <w:tr w:rsidR="00622EC5" w:rsidRPr="00622EC5" w:rsidTr="00622EC5">
        <w:trPr>
          <w:trHeight w:val="480"/>
        </w:trPr>
        <w:tc>
          <w:tcPr>
            <w:tcW w:w="3119" w:type="dxa"/>
            <w:gridSpan w:val="2"/>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548"/>
        <w:gridCol w:w="1795"/>
        <w:gridCol w:w="1036"/>
        <w:gridCol w:w="1291"/>
        <w:gridCol w:w="1540"/>
        <w:gridCol w:w="1579"/>
        <w:gridCol w:w="1382"/>
      </w:tblGrid>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FIa1</w:t>
            </w:r>
          </w:p>
        </w:tc>
        <w:tc>
          <w:tcPr>
            <w:tcW w:w="1548"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Bagaimana (tingkat) penerimaan (legitimasi) </w:t>
            </w:r>
            <w:r w:rsidRPr="00622EC5">
              <w:rPr>
                <w:rFonts w:ascii="Times New Roman" w:eastAsia="Times New Roman" w:hAnsi="Times New Roman" w:cs="Times New Roman"/>
                <w:i/>
                <w:iCs/>
                <w:color w:val="000000"/>
                <w:sz w:val="20"/>
                <w:szCs w:val="20"/>
                <w:lang w:eastAsia="id-ID"/>
              </w:rPr>
              <w:t xml:space="preserve">stakeholder </w:t>
            </w:r>
            <w:r w:rsidRPr="00622EC5">
              <w:rPr>
                <w:rFonts w:ascii="Times New Roman" w:eastAsia="Times New Roman" w:hAnsi="Times New Roman" w:cs="Times New Roman"/>
                <w:color w:val="000000"/>
                <w:sz w:val="20"/>
                <w:szCs w:val="20"/>
                <w:lang w:eastAsia="id-ID"/>
              </w:rPr>
              <w:t>atas dokumen RTRWP/RTRWK/Kehutanan?</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Masih rendah, karena RTRWP hingga saat ini belum jelas, sehingga terjadi kebingungan dari stakeholder tersendiri menggunakan dasar apa. Apakah RTRWP No. 8 tahun 2003 atau TGHK dan SK Menhut No. 292</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78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PU</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Tahun lalu sudah diprogramkan dalam penyusunan RTRWK [draft], sebagian besar menerima hasil draft tersebut. Pembahasan yang beberapa tahapan tersebut ada masukan2 dari LSM, masy. Saya kira cukup diterima</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4</w:t>
            </w:r>
          </w:p>
        </w:tc>
      </w:tr>
      <w:tr w:rsidR="00622EC5" w:rsidRPr="00622EC5" w:rsidTr="00622EC5">
        <w:trPr>
          <w:trHeight w:val="153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RTRWP/RTRWK hingga saat ini belum dilakukan konsultasi publik sehingga banyak pihak yang belum paham terkait hal tersebut kecuali pihak-pihak tersebut mencari tahu sendiri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306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RTRWP belum disahkan, sehingga masyarakat di Kab. Kapuas bingung wilayah mana yang masuk kawasan hutan, APL dan lain-lain. </w:t>
            </w:r>
            <w:r w:rsidRPr="00622EC5">
              <w:rPr>
                <w:rFonts w:ascii="Times New Roman" w:eastAsia="Times New Roman" w:hAnsi="Times New Roman" w:cs="Times New Roman"/>
                <w:color w:val="000000"/>
                <w:sz w:val="20"/>
                <w:szCs w:val="20"/>
                <w:lang w:eastAsia="id-ID"/>
              </w:rPr>
              <w:br/>
              <w:t>- Karena ketidak jelasan RTRWP inilah mangkanya kerap terjadi tumpang tindih perizinan, karena pemerintah prov dan kabupaten sepakat menggunakan RTRWP yang tertuang pada Perda No. 8 Tahun 2003</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51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Asosiasi Pengusaha</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Akademisi</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43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622EC5" w:rsidRPr="00622EC5" w:rsidTr="00622EC5">
        <w:trPr>
          <w:trHeight w:val="100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FIb1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luas kawasan hutan yang dikukuhkan dan dite-rima oleh para pihak</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PERDA Kabupaten Kapuas No. 3 Tahun 2002</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Ada yang menerima maupun tidak, karena ketika berbicara pengukuhan itu menggunakan apa</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102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PERDA Kabupaten Kapuas No. 3 Tahun 2002</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tau kawasan hutan yang telah dikukuhkan, lagi pula hingga saat ini belum ada pemetaan kawasan yang dilakukan oleh pemerintah daerah</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PERDA Kabupaten Kapuas No. 3 Tahun 2002</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Pengakuan hanya pada secara adat, tetapi secara hukum formal tidak ada</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40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Akademisi</w:t>
            </w:r>
          </w:p>
        </w:tc>
        <w:tc>
          <w:tcPr>
            <w:tcW w:w="1291"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dapat diwawancarai</w:t>
            </w:r>
          </w:p>
        </w:tc>
        <w:tc>
          <w:tcPr>
            <w:tcW w:w="1540"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dapat diwawancarai</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4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622EC5" w:rsidRPr="00622EC5" w:rsidTr="00622EC5">
        <w:trPr>
          <w:trHeight w:val="108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30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FIc1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tertuang didala Bab VII tentang Hak, Kewajiban dan peran serta masyarakat. Pada pasal 18, 19,20, 21, 22, 23, 24, 25, 26, 27. yang intinya adalah pemanfaatan ruang daratan, ruang lautan, dan ruang udara diatur berdasarkan perundang-undangan, agama, adat atau kebiasan yang berlaku. masyarakat juga dapat berperan dalam proses perencanaan tata ruang, pemanfaatan ruang pengendalian pemanfaatan ruang. </w:t>
            </w:r>
          </w:p>
        </w:tc>
        <w:tc>
          <w:tcPr>
            <w:tcW w:w="1540" w:type="dxa"/>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Bagaimana mau memadai apabila RTRWP belum di sahkan, meskipun terdapat kawasan adat yang saat ini sedang dilakukan inventarisir tetapi belum dimasukkan ke dalam tata ruang provinsi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02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Diakui ada dokumen, tapi hingga selesai waktu pengumpulan data dokumen tidak diberikan karena tidak bisa ditemukan </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Hingga saat ini belum ada kawasan adat yang masuk kedalam RTRWP maupun RTRWK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53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Diakui ada data tapi tidak terarsip dengan baik sehingga tidak dapat ditunjukkan pada peneliti</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Masih ada kerancuan dari sisi kebijakan pemerintah dan masy adat, banyak usulan-usulan yang diberikan masyarakat yang tidak terakomodir dengan alasan tidak sesuai dengan kebijakan pusat dll.</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Akademisi</w:t>
            </w:r>
          </w:p>
        </w:tc>
        <w:tc>
          <w:tcPr>
            <w:tcW w:w="1291"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dapat diwawancarai</w:t>
            </w:r>
          </w:p>
        </w:tc>
        <w:tc>
          <w:tcPr>
            <w:tcW w:w="1540"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dapa diwawancarai</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45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622EC5" w:rsidRPr="00622EC5" w:rsidTr="00622EC5">
        <w:trPr>
          <w:trHeight w:val="100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622EC5" w:rsidRPr="00622EC5" w:rsidRDefault="00622EC5" w:rsidP="00622EC5">
            <w:pPr>
              <w:spacing w:after="0" w:line="240" w:lineRule="auto"/>
              <w:jc w:val="center"/>
              <w:rPr>
                <w:rFonts w:ascii="Times New Roman" w:eastAsia="Times New Roman" w:hAnsi="Times New Roman" w:cs="Times New Roman"/>
                <w:color w:val="FFFF00"/>
                <w:sz w:val="20"/>
                <w:szCs w:val="20"/>
                <w:lang w:eastAsia="id-ID"/>
              </w:rPr>
            </w:pPr>
            <w:r w:rsidRPr="00622EC5">
              <w:rPr>
                <w:rFonts w:ascii="Times New Roman" w:eastAsia="Times New Roman" w:hAnsi="Times New Roman" w:cs="Times New Roman"/>
                <w:color w:val="FFFF00"/>
                <w:sz w:val="20"/>
                <w:szCs w:val="20"/>
                <w:lang w:eastAsia="id-ID"/>
              </w:rPr>
              <w:t> </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Masih kurang memadai, karena penyelesaian konflik tidak semuanya dapat terselesaikan dengan baik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229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FFFF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Selama ini penyelesaian konflik selalu diarahkan kepada ganti rugi lahan sedangka pengembalian hak pengelolaan tanah kepada masyarakat tidak pernah berhasil </w:t>
            </w:r>
            <w:r w:rsidRPr="00622EC5">
              <w:rPr>
                <w:rFonts w:ascii="Times New Roman" w:eastAsia="Times New Roman" w:hAnsi="Times New Roman" w:cs="Times New Roman"/>
                <w:color w:val="000000"/>
                <w:sz w:val="20"/>
                <w:szCs w:val="20"/>
                <w:lang w:eastAsia="id-ID"/>
              </w:rPr>
              <w:lastRenderedPageBreak/>
              <w:t>terkecuali terjadi pengklaiman lahan oleh masyarakat dan/atau perusahaan yang ada ditanah mereka tidak operasional</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1</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FFFF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belum memadai, karena meskipun telah dilakukan penyelesaian masih kerap terjadi konflik di masyarakat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FFFF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Akademisi</w:t>
            </w:r>
          </w:p>
        </w:tc>
        <w:tc>
          <w:tcPr>
            <w:tcW w:w="1291"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0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FId1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Untuk hasil mediasi cukup diterima dengan para pihak khususnya yang sedang berkonflik, hanya saja kendala yang kerap terjadi adalah ketika implementasinya dimana hasil mediasi yang dijalankan tidak konsisten. Khususnya bagi pihak-pihak yang sedang berkonflik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277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Banyak hasil mediasi yang merupakan kesepakatan bersama tidak berjalan sebagai mana mestinya sehingga hasil mediasi tidak berjalan secara konsisten sebagai contoh setelah terjadinya mediasi dan menghasilkan kesepakatan banyak intervensi yang diterima oleh masyarkat agar mengubah kesepakatan yang telah </w:t>
            </w:r>
            <w:r w:rsidRPr="00622EC5">
              <w:rPr>
                <w:rFonts w:ascii="Times New Roman" w:eastAsia="Times New Roman" w:hAnsi="Times New Roman" w:cs="Times New Roman"/>
                <w:color w:val="000000"/>
                <w:sz w:val="20"/>
                <w:szCs w:val="20"/>
                <w:lang w:eastAsia="id-ID"/>
              </w:rPr>
              <w:lastRenderedPageBreak/>
              <w:t>terjadi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1</w:t>
            </w:r>
          </w:p>
        </w:tc>
      </w:tr>
      <w:tr w:rsidR="00622EC5" w:rsidRPr="00622EC5" w:rsidTr="00622EC5">
        <w:trPr>
          <w:trHeight w:val="127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karena masih saja sering terjadi pelanggaran yang dilakukan perusahaan untuk menekan masyarakat melalui preman atau aparat pasca mediasi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Akademisi</w:t>
            </w:r>
          </w:p>
        </w:tc>
        <w:tc>
          <w:tcPr>
            <w:tcW w:w="1291"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000000" w:fill="F2DDDC"/>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510"/>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45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2327"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II. Pengaturan Hak  </w:t>
            </w: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p>
        </w:tc>
      </w:tr>
      <w:tr w:rsidR="00622EC5" w:rsidRPr="00622EC5" w:rsidTr="00622EC5">
        <w:trPr>
          <w:trHeight w:val="6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622EC5">
              <w:rPr>
                <w:rFonts w:ascii="Times New Roman" w:eastAsia="Times New Roman" w:hAnsi="Times New Roman" w:cs="Times New Roman"/>
                <w:b/>
                <w:bCs/>
                <w:color w:val="000000"/>
                <w:sz w:val="20"/>
                <w:szCs w:val="20"/>
                <w:lang w:eastAsia="id-ID"/>
              </w:rPr>
              <w:br/>
              <w:t xml:space="preserve">   masyarakat dan bisnis di Kementerian/SKPD </w:t>
            </w:r>
          </w:p>
        </w:tc>
      </w:tr>
      <w:tr w:rsidR="00622EC5" w:rsidRPr="00622EC5" w:rsidTr="00622EC5">
        <w:trPr>
          <w:trHeight w:val="43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 Kementerian/Dinas Kehutanan (Unit Pemberi Izin)</w:t>
            </w:r>
          </w:p>
        </w:tc>
      </w:tr>
      <w:tr w:rsidR="00622EC5" w:rsidRPr="00622EC5" w:rsidTr="00622EC5">
        <w:trPr>
          <w:trHeight w:val="69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FIIa1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5"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 yang didapat terkait hal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43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622EC5">
              <w:rPr>
                <w:rFonts w:ascii="Times New Roman" w:eastAsia="Times New Roman" w:hAnsi="Times New Roman" w:cs="Times New Roman"/>
                <w:b/>
                <w:bCs/>
                <w:color w:val="000000"/>
                <w:sz w:val="20"/>
                <w:szCs w:val="20"/>
                <w:lang w:eastAsia="id-ID"/>
              </w:rPr>
              <w:br/>
              <w:t xml:space="preserve">   masyarakat dan bisnis di Kementerian/SKPD </w:t>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6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622EC5">
              <w:rPr>
                <w:rFonts w:ascii="Times New Roman" w:eastAsia="Times New Roman" w:hAnsi="Times New Roman" w:cs="Times New Roman"/>
                <w:b/>
                <w:bCs/>
                <w:color w:val="000000"/>
                <w:sz w:val="20"/>
                <w:szCs w:val="20"/>
                <w:lang w:eastAsia="id-ID"/>
              </w:rPr>
              <w:br/>
              <w:t xml:space="preserve">  Kementerian/Dinas Kehutanan (Unit Pemberi Izin)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FIIb1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5"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mendapatkan data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4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c. Jumlah konflik antar sesama penggunaan kawasan hutan </w:t>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49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FIIc1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Jumlah konflik antar sesama penggunaan kawasan hutan </w:t>
            </w:r>
          </w:p>
        </w:tc>
        <w:tc>
          <w:tcPr>
            <w:tcW w:w="1795"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data yang ditemukan terkait hal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 Pemerintah (Pusat &amp; Daerah), LSM, AMAN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255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praktik terbaik (</w:t>
            </w:r>
            <w:r w:rsidRPr="00622EC5">
              <w:rPr>
                <w:rFonts w:ascii="Times New Roman" w:eastAsia="Times New Roman" w:hAnsi="Times New Roman" w:cs="Times New Roman"/>
                <w:i/>
                <w:iCs/>
                <w:color w:val="000000"/>
                <w:sz w:val="20"/>
                <w:szCs w:val="20"/>
                <w:lang w:eastAsia="id-ID"/>
              </w:rPr>
              <w:t>best practices</w:t>
            </w:r>
            <w:r w:rsidRPr="00622EC5">
              <w:rPr>
                <w:rFonts w:ascii="Times New Roman" w:eastAsia="Times New Roman" w:hAnsi="Times New Roman" w:cs="Times New Roman"/>
                <w:color w:val="000000"/>
                <w:sz w:val="20"/>
                <w:szCs w:val="20"/>
                <w:lang w:eastAsia="id-ID"/>
              </w:rPr>
              <w:t>) atas resolusi konflik terkait pengakuan hak masyarakat adat/lokal</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Resolusi konflik dalam hal best practice terkait pengakuan hak masyarakat adat/lokal berjalan dengan memadai. Hal tersebut bercermin dari penyelesaian konflik program lahan gambut 1 juta hektar yang gagal dimana pemerintah mengakui wilayah kelola, beje, tatag masy adat yang rusak dan melakukan ganti rugi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331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Best practice bukan mengarah kepada ganti rugi lahan, tetapi mengarah kepada pengakuan terhadap hak-hak masyarakat adat khususnya terkait wilayah kelola mereka. Seharusnya yang terjadi di kapuas adalah mengembalikan hak-hak kelola masyarakat bukan melakukan ganti rugi. Yang kerap terjadi adalah ketika masyarakat protes selalu dikaitkan dengan ini dapat diselesaikan dengan ganti rugi saja</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27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Best practices dalam resolusi konflik di kab. Kapuas belum atau tidak ada. Karena selama ini penyelesaian konflik lebih menguntungkan para pengusaha</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FIId1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Pencegahan kekerasan</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Menurut SK Bupati Kapuas No. 426/ADPUM Tahun 2010, tidak tergambarkan secara jelas, di dalam peraturan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Tentu saja resolusi konflik mencakup mencegah terjadinya tindak kekerasan, karena itu penting adanya pelibatan SKPD dalam tim penyelesaian konflik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280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tergambarkan secara jelas, di dalam peraturan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resolusi konflik, tetapi karena adanya intervensi dari pihak luar maupun pihak dalam dimasyarakat sendiri sehingga terjadi kekerasan yang tidak dapat dihindarkan.</w:t>
            </w:r>
            <w:r w:rsidRPr="00622EC5">
              <w:rPr>
                <w:rFonts w:ascii="Times New Roman" w:eastAsia="Times New Roman" w:hAnsi="Times New Roman" w:cs="Times New Roman"/>
                <w:color w:val="000000"/>
                <w:sz w:val="20"/>
                <w:szCs w:val="20"/>
                <w:lang w:eastAsia="id-ID"/>
              </w:rPr>
              <w:br/>
              <w:t>- Seperti ketika menghadirkan polisi di lokasi konflik, mereka bukannya membuat tentram masyarakat tetapi juga melakukan intimidasi agar tidak perlu melakukan protes</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27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tergambarkan secara jelas, di dalam peraturan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aparat yang dilibatkan bukan berperan pada pencegah dari timbulnya tindak kekerasan tetapi lebih pada salah satu penyebab intimidasi di masyarakat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FIId2</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Penyelesaian konflik</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berdasrkan Sk tersebut, tugas tim fasilitasi dan mediasi penyelesaian konflik adalah membantu perangkat kedamangan [Adat], lurah/ kepala desa dan camat dalam upaya penyelesaian konflik</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Iya, meskipun banyak dirasa masih kurang memadai tetapi pemerintah daerah berusaha memfasilitasi konflik yang terjadi dengan adanya tim penyelesaian konflik tersebut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255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berdasrkan Sk tersebut, tugas tim fasilitasi dan mediasi penyelesaian konflik adalah membantu perangkat kedamangan [Adat], lurah/ kepala desa dan camat dalam upaya penyelesaian konflik</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Memang menyelesaikan konflik, tetapi keberpihakannya kepada para pemegang modal atau pengusaha. </w:t>
            </w:r>
            <w:r w:rsidRPr="00622EC5">
              <w:rPr>
                <w:rFonts w:ascii="Times New Roman" w:eastAsia="Times New Roman" w:hAnsi="Times New Roman" w:cs="Times New Roman"/>
                <w:color w:val="000000"/>
                <w:sz w:val="20"/>
                <w:szCs w:val="20"/>
                <w:lang w:eastAsia="id-ID"/>
              </w:rPr>
              <w:br/>
              <w:t>- Tidak pernah penyelesaian konflik masyarakat yang diuntungkan dengan mengembalikan hak kelola mereka atau mencabut izin-izin perusahaan yang telah melanggar peraturan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53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berdasrkan Sk tersebut, tugas tim fasilitasi dan mediasi penyelesaian konflik adalah membantu perangkat kedamangan [Adat], lurah/ kepala desa dan camat dalam upaya penyelesaian konflik</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Seharusnya iya, tetapi realitas di lapangan tidak. Penyelesaian konflik yang didorong dapat menyebabkan konflik baru di masyarakat karena keberpihakan pemerintah lebih pada orang-orang yang memiliki modal.</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FIId3</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Penerimaan para pihak</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terjabarkan didalam SK tersebut</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Penerimaan para pihak dalam penyelesaian konflik termasuk didalamnya, hanya saja masih kurang memadai karena tidak semuanya dapat menerima hasil penyelesaian konflik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komitmen tidak berjalan karena masyarakat mengalami intervensi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78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penerimaan para pihak, selama ini masyarakat adat yang terlibat konflik tanah dengan perusahaan selalu merasa terintimidasi untuk segera menerima kesepakatan yang ditawarkan oleh perusahaan, pemerintah dan aparat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FIId4</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Komitmen tetap dijalankan</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Terdapat beberapa orang atau pihak yang dapat berkomitmen dalam resolusi konflik, tetapi tidak semuanya sehingga masih dirasa kurang memadai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komitmen tidak bejalan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Selama ini komitmen terkait memperjuangkan hak-hak masyarakat adat tidak berjalan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622EC5" w:rsidRPr="00622EC5" w:rsidTr="00622EC5">
        <w:trPr>
          <w:trHeight w:val="25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 Media cetak</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FIIe1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Jurnalis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Iya, karena berkaitan dengan tanah masyarakat dengan adanya investasi yang masuk, dan pemberitaan meningkat meski akhir-akhir ini berkurang</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FIIe2</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Cakupan berita  mengenai pengakuan pejabat atas hak masyarakat adat</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Jurnalis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Secara umum pemerintah daerah mengakui sepanjang dapat menunjukkan </w:t>
            </w:r>
            <w:r w:rsidRPr="00622EC5">
              <w:rPr>
                <w:rFonts w:ascii="Times New Roman" w:eastAsia="Times New Roman" w:hAnsi="Times New Roman" w:cs="Times New Roman"/>
                <w:color w:val="000000"/>
                <w:sz w:val="20"/>
                <w:szCs w:val="20"/>
                <w:lang w:eastAsia="id-ID"/>
              </w:rPr>
              <w:lastRenderedPageBreak/>
              <w:t>keabsahaan yang ada. Dan pemerintah daerah pastinya tidak akan menghalangi hak-hak masyarakat adat.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3</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FIIe3</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Posisi berita dalam media cetak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Posisi berita dalam media cetak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Jurnalis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Masih kurang memadai, karena mungkin kesadaran masyarakat untuk membaca masih rendah</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FIIe4</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Posisi media dalam pemberitaan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Posisi media dalam pemberitaan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Jurnalis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Cukup memadai hanya saja harus ada pendekatan personal terlebih dahulu </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4057" w:type="dxa"/>
            <w:gridSpan w:val="3"/>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5446" w:type="dxa"/>
            <w:gridSpan w:val="4"/>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Wawancara – 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Pengusaha, Organisasi Masyarakat Adat, LSM</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FIIIa1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biaya transaksi pengurusan izin pengelolaan hutan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biaya transaksi pengurusan izin pengelolaan hutan</w:t>
            </w: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tahu, banyak informasi yang simbang siur terkait biaya pengurusan ijin selain itu standarisasi biaya pengurusan ijin tidak kami ketahui, mungkin sangat tidak sesuai deangan aturan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255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Sangat tidak sesuai, meskipun secara pasti tidak mengetahui berapa nominalnya. Tetapi melihat dari dampak yang terjadi terkait pengelolaan hutan selama ini jauh dari kurang. Karena dampak yang terjadi seperti kerusakan </w:t>
            </w:r>
            <w:r w:rsidRPr="00622EC5">
              <w:rPr>
                <w:rFonts w:ascii="Times New Roman" w:eastAsia="Times New Roman" w:hAnsi="Times New Roman" w:cs="Times New Roman"/>
                <w:color w:val="000000"/>
                <w:sz w:val="20"/>
                <w:szCs w:val="20"/>
                <w:lang w:eastAsia="id-ID"/>
              </w:rPr>
              <w:lastRenderedPageBreak/>
              <w:t>lingkungan, situs budaya, konflik masyarakat tidak sebanding dengan biaya perijinan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1</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9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622EC5">
              <w:rPr>
                <w:rFonts w:ascii="Times New Roman" w:eastAsia="Times New Roman" w:hAnsi="Times New Roman" w:cs="Times New Roman"/>
                <w:b/>
                <w:bCs/>
                <w:color w:val="000000"/>
                <w:sz w:val="20"/>
                <w:szCs w:val="20"/>
                <w:lang w:eastAsia="id-ID"/>
              </w:rPr>
              <w:br/>
              <w:t xml:space="preserve">  pemegang ijin</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Peraturan Prosedur Pelaksanaan Pengurusan Izin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FIIIb1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tahapan dan bentuk persyaratan setiap tahapan dalam pengurusan izin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informan kurang mengetahui</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BPN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94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Dinas Pertanian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4057" w:type="dxa"/>
            <w:gridSpan w:val="3"/>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5446" w:type="dxa"/>
            <w:gridSpan w:val="4"/>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3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622EC5">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FIVa1</w:t>
            </w:r>
          </w:p>
        </w:tc>
        <w:tc>
          <w:tcPr>
            <w:tcW w:w="1548"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5" w:type="dxa"/>
            <w:vMerge w:val="restart"/>
            <w:tcBorders>
              <w:top w:val="nil"/>
              <w:left w:val="single" w:sz="4" w:space="0" w:color="auto"/>
              <w:bottom w:val="single" w:sz="4" w:space="0" w:color="000000"/>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BPN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Dinas Pertanian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lastRenderedPageBreak/>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FIVb1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dokumennya</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c. Persentase hutan yang memiliki pengelola (KPH)</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Kehutanan &amp; Dinas Kehutanan (Provinsi &amp; Kabupaten)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FIVc1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Persentase hutan yang memiliki pengelola (KPH)</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[sedang dilakukan inventarisir kembali]</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FIVd1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pengelolaan hutan berbasis ecological services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tergambarkan di dalam Perda Kabupaten Kapuas No. 3 tahun 2002 tentang RTRWK Kapuas</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4057" w:type="dxa"/>
            <w:gridSpan w:val="3"/>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5446" w:type="dxa"/>
            <w:gridSpan w:val="4"/>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Laporan Inspektorat, BPKP &amp; BPK, Bawasda</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99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FVa1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pelanggaran pengguna-an anggaran di tingkat provinsi dan kab/kota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BPK, BAWASDA, INSPEKTORAT</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Kementrian &amp; Dinas Kehutanan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lastRenderedPageBreak/>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97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FVb1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Jumlah sanksi administratif serius (pencabutan izin, dan denda, yang telah dijatuhkan)</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Kepolisian (Nasional &amp; Daerah)</w:t>
            </w:r>
          </w:p>
        </w:tc>
      </w:tr>
      <w:tr w:rsidR="00622EC5" w:rsidRPr="00622EC5" w:rsidTr="00622EC5">
        <w:trPr>
          <w:trHeight w:val="67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03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FVc1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kasus pidana kehutanan yang diajukan/diproses oleh polisi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Polres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58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622EC5">
              <w:rPr>
                <w:rFonts w:ascii="Times New Roman" w:eastAsia="Times New Roman" w:hAnsi="Times New Roman" w:cs="Times New Roman"/>
                <w:b/>
                <w:bCs/>
                <w:color w:val="000000"/>
                <w:sz w:val="20"/>
                <w:szCs w:val="20"/>
                <w:lang w:eastAsia="id-ID"/>
              </w:rPr>
              <w:br/>
              <w:t xml:space="preserve">  diputuskan oleh MA</w:t>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Kepolisian (Nasional &amp; Daerah)</w:t>
            </w:r>
          </w:p>
        </w:tc>
      </w:tr>
      <w:tr w:rsidR="00622EC5" w:rsidRPr="00622EC5" w:rsidTr="00622EC5">
        <w:trPr>
          <w:trHeight w:val="73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FVd1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Polres</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e. Index integritas KPK sektor kehutanan</w:t>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Hasil Survai KPK tentang Integritas</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FVe1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Index integritas KPK sektor kehutanan</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KPK &amp; TII</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f. Index persepsi korupsi di lokasi assesmen (TII)</w:t>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Hasil Survai Persepsi Transparansi Internasional Indonesia (TII)</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lastRenderedPageBreak/>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FVf1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Index persepsi korupsi di lokasi assesmen (TII)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KPK &amp; TII</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15"/>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622EC5">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Laporan BPK</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FVg1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BPK, BAWASDA, INSPEKTORAT</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h. Jumlah pengaduan masyarakat tentang kinerja pengelolaan hutan</w:t>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r>
            <w:r w:rsidRPr="00622EC5">
              <w:rPr>
                <w:rFonts w:ascii="Times New Roman" w:eastAsia="Times New Roman" w:hAnsi="Times New Roman" w:cs="Times New Roman"/>
                <w:b/>
                <w:bCs/>
                <w:color w:val="000000"/>
                <w:sz w:val="20"/>
                <w:szCs w:val="20"/>
                <w:lang w:eastAsia="id-ID"/>
              </w:rPr>
              <w:br/>
              <w:t xml:space="preserve"> </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FVh1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r w:rsidRPr="00622EC5">
              <w:rPr>
                <w:rFonts w:ascii="Times New Roman" w:eastAsia="Times New Roman" w:hAnsi="Times New Roman" w:cs="Times New Roman"/>
                <w:sz w:val="20"/>
                <w:szCs w:val="20"/>
                <w:lang w:eastAsia="id-ID"/>
              </w:rPr>
              <w:t xml:space="preserve">Jumlah pengaduan masyarakat tentang kinerja pengelolaan hutan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sz w:val="20"/>
                <w:szCs w:val="20"/>
                <w:lang w:eastAsia="id-ID"/>
              </w:rPr>
            </w:pPr>
          </w:p>
        </w:tc>
        <w:tc>
          <w:tcPr>
            <w:tcW w:w="1548"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255"/>
        </w:trPr>
        <w:tc>
          <w:tcPr>
            <w:tcW w:w="4057" w:type="dxa"/>
            <w:gridSpan w:val="3"/>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Isu dalam PGA REDD+</w:t>
            </w:r>
          </w:p>
        </w:tc>
        <w:tc>
          <w:tcPr>
            <w:tcW w:w="5446" w:type="dxa"/>
            <w:gridSpan w:val="4"/>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FVIa1</w:t>
            </w:r>
          </w:p>
        </w:tc>
        <w:tc>
          <w:tcPr>
            <w:tcW w:w="1548"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112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Satgas REDD+</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b. Tingkat penerimaan Strategi REDD+ oleh para aktor</w:t>
            </w:r>
            <w:r w:rsidRPr="00622EC5">
              <w:rPr>
                <w:rFonts w:ascii="Times New Roman" w:eastAsia="Times New Roman" w:hAnsi="Times New Roman" w:cs="Times New Roman"/>
                <w:b/>
                <w:bCs/>
                <w:color w:val="000000"/>
                <w:sz w:val="20"/>
                <w:szCs w:val="20"/>
                <w:lang w:eastAsia="id-ID"/>
              </w:rPr>
              <w:br/>
            </w:r>
          </w:p>
        </w:tc>
      </w:tr>
      <w:tr w:rsidR="00622EC5" w:rsidRPr="00622EC5" w:rsidTr="00622EC5">
        <w:trPr>
          <w:trHeight w:val="66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45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FVIb1</w:t>
            </w:r>
          </w:p>
        </w:tc>
        <w:tc>
          <w:tcPr>
            <w:tcW w:w="1548"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Bagaimana penerimaan Strate-gi REDD+ oleh para aktor?</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Cukup diterima, karena strategi terkait REDD+ hanya saja masih terjadi perbedaan pemahaman di stakeholder terkait strategi tersebut. Sebagai contoh wilayah DA untuk REDD+ yaitu KFCP berada dalam kawasan KPHL, hingga saat ini koordinasinya pun belum jelas, apa saja yang sudah dikerjakan, bagaimana perkembangannya banyak yang tidak tahu. Strategi cukup diterima tetapi berbicara implementasi tidak tahu</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3</w:t>
            </w:r>
          </w:p>
        </w:tc>
      </w:tr>
      <w:tr w:rsidR="00622EC5" w:rsidRPr="00622EC5" w:rsidTr="00622EC5">
        <w:trPr>
          <w:trHeight w:val="22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Bappeda</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Relatif diterima, konsep REDD+ secara filosofinya diterima karena menjaga kelestarian hutan dan peningkatan kesejahteraan masyarakat, asal disinergikan dan disinkronkan dengan kegiatan pemerintah dan </w:t>
            </w:r>
            <w:r w:rsidRPr="00622EC5">
              <w:rPr>
                <w:rFonts w:ascii="Times New Roman" w:eastAsia="Times New Roman" w:hAnsi="Times New Roman" w:cs="Times New Roman"/>
                <w:color w:val="000000"/>
                <w:sz w:val="20"/>
                <w:szCs w:val="20"/>
                <w:lang w:eastAsia="id-ID"/>
              </w:rPr>
              <w:lastRenderedPageBreak/>
              <w:t>disesuaikan dengan kebutuhan masyarakat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4</w:t>
            </w:r>
          </w:p>
        </w:tc>
      </w:tr>
      <w:tr w:rsidR="00622EC5" w:rsidRPr="00622EC5" w:rsidTr="00622EC5">
        <w:trPr>
          <w:trHeight w:val="58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Berdasarkan fakta yang terjadi dimasyarakat </w:t>
            </w:r>
            <w:r w:rsidRPr="00622EC5">
              <w:rPr>
                <w:rFonts w:ascii="Times New Roman" w:eastAsia="Times New Roman" w:hAnsi="Times New Roman" w:cs="Times New Roman"/>
                <w:color w:val="000000"/>
                <w:sz w:val="20"/>
                <w:szCs w:val="20"/>
                <w:lang w:eastAsia="id-ID"/>
              </w:rPr>
              <w:br/>
              <w:t>1. Masyarakat belum paham terkait REDD+</w:t>
            </w:r>
            <w:r w:rsidRPr="00622EC5">
              <w:rPr>
                <w:rFonts w:ascii="Times New Roman" w:eastAsia="Times New Roman" w:hAnsi="Times New Roman" w:cs="Times New Roman"/>
                <w:color w:val="000000"/>
                <w:sz w:val="20"/>
                <w:szCs w:val="20"/>
                <w:lang w:eastAsia="id-ID"/>
              </w:rPr>
              <w:br/>
              <w:t>2. Keuntungan bagi masyarakat dalam program REDD+ hingga saat ini belum jelas</w:t>
            </w:r>
            <w:r w:rsidRPr="00622EC5">
              <w:rPr>
                <w:rFonts w:ascii="Times New Roman" w:eastAsia="Times New Roman" w:hAnsi="Times New Roman" w:cs="Times New Roman"/>
                <w:color w:val="000000"/>
                <w:sz w:val="20"/>
                <w:szCs w:val="20"/>
                <w:lang w:eastAsia="id-ID"/>
              </w:rPr>
              <w:br/>
              <w:t>3. Hak-hak masyarakat terkait kelola adat apakah diakuai atau tidak</w:t>
            </w:r>
            <w:r w:rsidRPr="00622EC5">
              <w:rPr>
                <w:rFonts w:ascii="Times New Roman" w:eastAsia="Times New Roman" w:hAnsi="Times New Roman" w:cs="Times New Roman"/>
                <w:color w:val="000000"/>
                <w:sz w:val="20"/>
                <w:szCs w:val="20"/>
                <w:lang w:eastAsia="id-ID"/>
              </w:rPr>
              <w:br/>
              <w:t>4. Adakah jamainan yang mengakui hak kelola masyarakat adat tersebut</w:t>
            </w:r>
            <w:r w:rsidRPr="00622EC5">
              <w:rPr>
                <w:rFonts w:ascii="Times New Roman" w:eastAsia="Times New Roman" w:hAnsi="Times New Roman" w:cs="Times New Roman"/>
                <w:color w:val="000000"/>
                <w:sz w:val="20"/>
                <w:szCs w:val="20"/>
                <w:lang w:eastAsia="id-ID"/>
              </w:rPr>
              <w:br/>
              <w:t>5. Bagaimana dengan sistem pembayaran yang akan diterima oleh masyarakat</w:t>
            </w:r>
            <w:r w:rsidRPr="00622EC5">
              <w:rPr>
                <w:rFonts w:ascii="Times New Roman" w:eastAsia="Times New Roman" w:hAnsi="Times New Roman" w:cs="Times New Roman"/>
                <w:color w:val="000000"/>
                <w:sz w:val="20"/>
                <w:szCs w:val="20"/>
                <w:lang w:eastAsia="id-ID"/>
              </w:rPr>
              <w:br/>
              <w:t>6. REDD+ memalui program KFCP yang sudah berjalan ini lebih pada menghamburkan uang dengan hasil yang tidak jelas, sedangkan masyarakat pelibatanya hanya sebagai pekerja dilevel bawah. Seperti tukang tabat saluran primer, supir klotok dll</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Organisasi Masyarakat Adat </w:t>
            </w:r>
            <w:r w:rsidRPr="00622EC5">
              <w:rPr>
                <w:rFonts w:ascii="Times New Roman" w:eastAsia="Times New Roman" w:hAnsi="Times New Roman" w:cs="Times New Roman"/>
                <w:color w:val="000000"/>
                <w:sz w:val="20"/>
                <w:szCs w:val="20"/>
                <w:lang w:eastAsia="id-ID"/>
              </w:rPr>
              <w:lastRenderedPageBreak/>
              <w:t>Lokal</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Di tingkat masy adat tidak diterima dengan baik kecuali </w:t>
            </w:r>
            <w:r w:rsidRPr="00622EC5">
              <w:rPr>
                <w:rFonts w:ascii="Times New Roman" w:eastAsia="Times New Roman" w:hAnsi="Times New Roman" w:cs="Times New Roman"/>
                <w:color w:val="000000"/>
                <w:sz w:val="20"/>
                <w:szCs w:val="20"/>
                <w:lang w:eastAsia="id-ID"/>
              </w:rPr>
              <w:lastRenderedPageBreak/>
              <w:t>orang-orang yang terlibat dalam program tersebut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1</w:t>
            </w:r>
          </w:p>
        </w:tc>
      </w:tr>
      <w:tr w:rsidR="00622EC5" w:rsidRPr="00622EC5" w:rsidTr="00622EC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lastRenderedPageBreak/>
              <w:t>FVIb2</w:t>
            </w:r>
          </w:p>
        </w:tc>
        <w:tc>
          <w:tcPr>
            <w:tcW w:w="1548"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Kelembagaan REDD+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memadai karena tidak tahu sejauh mana perkembangannya hingga saat ini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27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Bappeda</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Dikabupaten Kapuas memiliki pokja KFCP bukan REDD+, dan itu jauh dari kata ideal, karena hanya Pokja KFCP bukan Pokja REDD+ walaupun KFCP DA REDD+</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02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Banyak kelembagaan yang dibentuk dalam hal mendukung program REDD+ tetapi fungsinya untuk apa tidak jelas</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78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Hingga saat ini sosialisasi REDD tidak jelas masyarakat menjadi apa dan keuntungannya bagaimana.</w:t>
            </w:r>
            <w:r w:rsidRPr="00622EC5">
              <w:rPr>
                <w:rFonts w:ascii="Times New Roman" w:eastAsia="Times New Roman" w:hAnsi="Times New Roman" w:cs="Times New Roman"/>
                <w:color w:val="000000"/>
                <w:sz w:val="20"/>
                <w:szCs w:val="20"/>
                <w:lang w:eastAsia="id-ID"/>
              </w:rPr>
              <w:br/>
              <w:t>Sementara ini banyak masy hanya jadi pesuruh seperti, supir kelotok, tukang angkut dll</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FVIb3</w:t>
            </w:r>
          </w:p>
        </w:tc>
        <w:tc>
          <w:tcPr>
            <w:tcW w:w="1548"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Kerangka Pengaman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Kalau masih terjadi pertentangan-pertentangan dimasyarakat bisa dianggap tidak memadai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02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Bappeda</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Manual/protokol save guard sudah dikenalkan tetapi belum punya itu sehingga sampai sekarang tidak berjalan</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53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Saveguard atau kerangka pengaman yang telah dibuat se-kalteng tanpa melihat kondisi di tingkat tapak dimana save guard tersebut tidak melibatkan peran serta masyarakat ditingkat tapak</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Apabila sudah memadai kenapa masih ada penolakan-penolakan di masyarakat</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18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FVIb4</w:t>
            </w:r>
          </w:p>
        </w:tc>
        <w:tc>
          <w:tcPr>
            <w:tcW w:w="1548" w:type="dxa"/>
            <w:vMerge w:val="restart"/>
            <w:tcBorders>
              <w:top w:val="nil"/>
              <w:left w:val="single" w:sz="4" w:space="0" w:color="auto"/>
              <w:bottom w:val="single" w:sz="4" w:space="0" w:color="000000"/>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795" w:type="dxa"/>
            <w:vMerge w:val="restart"/>
            <w:tcBorders>
              <w:top w:val="nil"/>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Apakah (mekanisme) MRV sudah memadai?</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memadai, Dishut memiliki rencana untuk melakukan monitoring dan evaluasi kawasan KFCP yang masuk ke dalam wilayah KPHL, sejauh mana perkembangannya dan apa yang sudah dikerjakan dan ini adalah inisiatif dari Dishut sendiri</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Bappeda</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Belum memadai karena save guardnya belum punya walaupun sudah mengetahui itu</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1020"/>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LSM</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Hingga saat ini belum diterapkan dimana sebelum dilakukan MRV terlebih dahulu harus ada strada (strategi daerah), FPIC</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2</w:t>
            </w:r>
          </w:p>
        </w:tc>
      </w:tr>
      <w:tr w:rsidR="00622EC5" w:rsidRPr="00622EC5" w:rsidTr="00622EC5">
        <w:trPr>
          <w:trHeight w:val="765"/>
        </w:trPr>
        <w:tc>
          <w:tcPr>
            <w:tcW w:w="714"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548" w:type="dxa"/>
            <w:vMerge/>
            <w:tcBorders>
              <w:top w:val="nil"/>
              <w:left w:val="single" w:sz="4" w:space="0" w:color="auto"/>
              <w:bottom w:val="single" w:sz="4" w:space="0" w:color="000000"/>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795" w:type="dxa"/>
            <w:vMerge/>
            <w:tcBorders>
              <w:top w:val="nil"/>
              <w:left w:val="single" w:sz="4" w:space="0" w:color="auto"/>
              <w:bottom w:val="single" w:sz="4" w:space="0" w:color="auto"/>
              <w:right w:val="single" w:sz="4" w:space="0" w:color="auto"/>
            </w:tcBorders>
            <w:vAlign w:val="center"/>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Organisasi Masyarakat Adat Lokal</w:t>
            </w:r>
          </w:p>
        </w:tc>
        <w:tc>
          <w:tcPr>
            <w:tcW w:w="1291"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40"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proses MRV terkait program REDD+ yang telah berjalan di Kab. Kapuas</w:t>
            </w:r>
          </w:p>
        </w:tc>
        <w:tc>
          <w:tcPr>
            <w:tcW w:w="1382" w:type="dxa"/>
            <w:tcBorders>
              <w:top w:val="nil"/>
              <w:left w:val="nil"/>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c. Tingkat deforestasi di lokasi assesmen</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lastRenderedPageBreak/>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FVIc1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Tingkat deforestasi di lokasi assesmen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d. Tingkat degradasi hutan di lokasi assesmen</w:t>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FVId1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Tingkat degradasi hutan di lokasi assesmen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r w:rsidR="00622EC5" w:rsidRPr="00622EC5" w:rsidTr="00622EC5">
        <w:trPr>
          <w:trHeight w:val="255"/>
        </w:trPr>
        <w:tc>
          <w:tcPr>
            <w:tcW w:w="714"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8"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036"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291"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c>
          <w:tcPr>
            <w:tcW w:w="1579"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p>
        </w:tc>
      </w:tr>
      <w:tr w:rsidR="00622EC5" w:rsidRPr="00622EC5" w:rsidTr="00622EC5">
        <w:trPr>
          <w:trHeight w:val="6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Indikator</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p>
        </w:tc>
        <w:tc>
          <w:tcPr>
            <w:tcW w:w="6828" w:type="dxa"/>
            <w:gridSpan w:val="5"/>
            <w:tcBorders>
              <w:top w:val="nil"/>
              <w:left w:val="nil"/>
              <w:bottom w:val="nil"/>
              <w:right w:val="nil"/>
            </w:tcBorders>
            <w:shd w:val="clear" w:color="auto" w:fill="auto"/>
            <w:hideMark/>
          </w:tcPr>
          <w:p w:rsidR="00622EC5" w:rsidRPr="00622EC5" w:rsidRDefault="00622EC5" w:rsidP="00622EC5">
            <w:pPr>
              <w:spacing w:after="24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622EC5">
              <w:rPr>
                <w:rFonts w:ascii="Times New Roman" w:eastAsia="Times New Roman" w:hAnsi="Times New Roman" w:cs="Times New Roman"/>
                <w:b/>
                <w:bCs/>
                <w:color w:val="000000"/>
                <w:sz w:val="20"/>
                <w:szCs w:val="20"/>
                <w:lang w:eastAsia="id-ID"/>
              </w:rPr>
              <w:br/>
              <w:t xml:space="preserve">  REDD+ (demonstration ativities)</w:t>
            </w:r>
            <w:r w:rsidRPr="00622EC5">
              <w:rPr>
                <w:rFonts w:ascii="Times New Roman" w:eastAsia="Times New Roman" w:hAnsi="Times New Roman" w:cs="Times New Roman"/>
                <w:b/>
                <w:bCs/>
                <w:color w:val="000000"/>
                <w:sz w:val="20"/>
                <w:szCs w:val="20"/>
                <w:lang w:eastAsia="id-ID"/>
              </w:rPr>
              <w:br/>
            </w:r>
          </w:p>
        </w:tc>
      </w:tr>
      <w:tr w:rsidR="00622EC5" w:rsidRPr="00622EC5" w:rsidTr="00622EC5">
        <w:trPr>
          <w:trHeight w:val="300"/>
        </w:trPr>
        <w:tc>
          <w:tcPr>
            <w:tcW w:w="2262" w:type="dxa"/>
            <w:gridSpan w:val="2"/>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informasi</w:t>
            </w:r>
          </w:p>
        </w:tc>
        <w:tc>
          <w:tcPr>
            <w:tcW w:w="1795" w:type="dxa"/>
            <w:tcBorders>
              <w:top w:val="nil"/>
              <w:left w:val="nil"/>
              <w:bottom w:val="nil"/>
              <w:right w:val="nil"/>
            </w:tcBorders>
            <w:shd w:val="clear" w:color="auto" w:fill="auto"/>
            <w:noWrap/>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p>
        </w:tc>
        <w:tc>
          <w:tcPr>
            <w:tcW w:w="6828" w:type="dxa"/>
            <w:gridSpan w:val="5"/>
            <w:tcBorders>
              <w:top w:val="nil"/>
              <w:left w:val="nil"/>
              <w:bottom w:val="single" w:sz="4" w:space="0" w:color="auto"/>
              <w:right w:val="nil"/>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 Kementerian &amp; Dinas Kehutanan</w:t>
            </w:r>
          </w:p>
        </w:tc>
      </w:tr>
      <w:tr w:rsidR="00622EC5" w:rsidRPr="00622EC5" w:rsidTr="00622EC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Kode</w:t>
            </w:r>
          </w:p>
        </w:tc>
        <w:tc>
          <w:tcPr>
            <w:tcW w:w="1548"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Panduan Analisis Dokumen</w:t>
            </w:r>
          </w:p>
        </w:tc>
        <w:tc>
          <w:tcPr>
            <w:tcW w:w="1795" w:type="dxa"/>
            <w:tcBorders>
              <w:top w:val="single" w:sz="4" w:space="0" w:color="auto"/>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Pertanyaan Wawancara</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Sumber Data</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Dokumen</w:t>
            </w:r>
          </w:p>
        </w:tc>
        <w:tc>
          <w:tcPr>
            <w:tcW w:w="1579"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b/>
                <w:bCs/>
                <w:color w:val="000000"/>
                <w:sz w:val="20"/>
                <w:szCs w:val="20"/>
                <w:lang w:eastAsia="id-ID"/>
              </w:rPr>
            </w:pPr>
            <w:r w:rsidRPr="00622EC5">
              <w:rPr>
                <w:rFonts w:ascii="Times New Roman" w:eastAsia="Times New Roman" w:hAnsi="Times New Roman" w:cs="Times New Roman"/>
                <w:b/>
                <w:bCs/>
                <w:color w:val="000000"/>
                <w:sz w:val="20"/>
                <w:szCs w:val="20"/>
                <w:lang w:eastAsia="id-ID"/>
              </w:rPr>
              <w:t>Kategori Data Wawancara</w:t>
            </w:r>
          </w:p>
        </w:tc>
      </w:tr>
      <w:tr w:rsidR="00622EC5" w:rsidRPr="00622EC5" w:rsidTr="00622EC5">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FVIe1</w:t>
            </w:r>
          </w:p>
        </w:tc>
        <w:tc>
          <w:tcPr>
            <w:tcW w:w="1548"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5"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036"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Kehutanan</w:t>
            </w:r>
          </w:p>
        </w:tc>
        <w:tc>
          <w:tcPr>
            <w:tcW w:w="1291"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tidak ada dokumen</w:t>
            </w:r>
          </w:p>
        </w:tc>
        <w:tc>
          <w:tcPr>
            <w:tcW w:w="1540" w:type="dxa"/>
            <w:tcBorders>
              <w:top w:val="nil"/>
              <w:left w:val="nil"/>
              <w:bottom w:val="single" w:sz="4" w:space="0" w:color="auto"/>
              <w:right w:val="single" w:sz="4" w:space="0" w:color="auto"/>
            </w:tcBorders>
            <w:shd w:val="clear" w:color="auto" w:fill="auto"/>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1</w:t>
            </w:r>
          </w:p>
        </w:tc>
        <w:tc>
          <w:tcPr>
            <w:tcW w:w="1579" w:type="dxa"/>
            <w:tcBorders>
              <w:top w:val="nil"/>
              <w:left w:val="nil"/>
              <w:bottom w:val="single" w:sz="4" w:space="0" w:color="auto"/>
              <w:right w:val="single" w:sz="4" w:space="0" w:color="auto"/>
            </w:tcBorders>
            <w:shd w:val="clear" w:color="000000" w:fill="000000"/>
            <w:hideMark/>
          </w:tcPr>
          <w:p w:rsidR="00622EC5" w:rsidRPr="00622EC5" w:rsidRDefault="00622EC5" w:rsidP="00622EC5">
            <w:pPr>
              <w:spacing w:after="0" w:line="240" w:lineRule="auto"/>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22EC5" w:rsidRPr="00622EC5" w:rsidRDefault="00622EC5" w:rsidP="00622EC5">
            <w:pPr>
              <w:spacing w:after="0" w:line="240" w:lineRule="auto"/>
              <w:jc w:val="center"/>
              <w:rPr>
                <w:rFonts w:ascii="Times New Roman" w:eastAsia="Times New Roman" w:hAnsi="Times New Roman" w:cs="Times New Roman"/>
                <w:color w:val="000000"/>
                <w:sz w:val="20"/>
                <w:szCs w:val="20"/>
                <w:lang w:eastAsia="id-ID"/>
              </w:rPr>
            </w:pPr>
            <w:r w:rsidRPr="00622EC5">
              <w:rPr>
                <w:rFonts w:ascii="Times New Roman" w:eastAsia="Times New Roman" w:hAnsi="Times New Roman" w:cs="Times New Roman"/>
                <w:color w:val="000000"/>
                <w:sz w:val="20"/>
                <w:szCs w:val="20"/>
                <w:lang w:eastAsia="id-ID"/>
              </w:rPr>
              <w:t> </w:t>
            </w:r>
          </w:p>
        </w:tc>
      </w:tr>
    </w:tbl>
    <w:p w:rsidR="00622EC5" w:rsidRDefault="00622EC5"/>
    <w:sectPr w:rsidR="00622EC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22EC5"/>
    <w:rsid w:val="00680A9F"/>
    <w:rsid w:val="006E5970"/>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622EC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622EC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748116978">
      <w:bodyDiv w:val="1"/>
      <w:marLeft w:val="0"/>
      <w:marRight w:val="0"/>
      <w:marTop w:val="0"/>
      <w:marBottom w:val="0"/>
      <w:divBdr>
        <w:top w:val="none" w:sz="0" w:space="0" w:color="auto"/>
        <w:left w:val="none" w:sz="0" w:space="0" w:color="auto"/>
        <w:bottom w:val="none" w:sz="0" w:space="0" w:color="auto"/>
        <w:right w:val="none" w:sz="0" w:space="0" w:color="auto"/>
      </w:divBdr>
    </w:div>
    <w:div w:id="1147359644">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4328</Words>
  <Characters>24674</Characters>
  <Application>Microsoft Office Word</Application>
  <DocSecurity>0</DocSecurity>
  <Lines>205</Lines>
  <Paragraphs>57</Paragraphs>
  <ScaleCrop>false</ScaleCrop>
  <Company/>
  <LinksUpToDate>false</LinksUpToDate>
  <CharactersWithSpaces>28945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2012-10-16T04:40:00Z</dcterms:modified>
</cp:coreProperties>
</file>